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0D" w:rsidRPr="009D420D" w:rsidRDefault="009D420D" w:rsidP="009D420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H SarabunPSK" w:eastAsia="Times New Roman" w:hAnsi="TH SarabunPSK" w:cs="TH SarabunPSK"/>
          <w:b/>
          <w:bCs/>
          <w:color w:val="555555"/>
          <w:kern w:val="36"/>
          <w:sz w:val="32"/>
          <w:szCs w:val="32"/>
        </w:rPr>
      </w:pPr>
      <w:r w:rsidRPr="009D420D">
        <w:rPr>
          <w:rFonts w:ascii="TH SarabunPSK" w:eastAsia="Times New Roman" w:hAnsi="TH SarabunPSK" w:cs="TH SarabunPSK"/>
          <w:b/>
          <w:bCs/>
          <w:color w:val="555555"/>
          <w:kern w:val="36"/>
          <w:sz w:val="32"/>
          <w:szCs w:val="32"/>
        </w:rPr>
        <w:t>Developing and Evaluating a Program to Support Preparation for Aging: A Case Study from Phuket Province, Thailand</w:t>
      </w:r>
    </w:p>
    <w:p w:rsidR="009D420D" w:rsidRPr="009D420D" w:rsidRDefault="009D420D" w:rsidP="009D420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hyperlink r:id="rId5" w:anchor="con1" w:history="1">
        <w:r w:rsidRPr="009D420D">
          <w:rPr>
            <w:rFonts w:ascii="TH SarabunPSK" w:eastAsia="Times New Roman" w:hAnsi="TH SarabunPSK" w:cs="TH SarabunPSK"/>
            <w:color w:val="046FF8"/>
            <w:sz w:val="32"/>
            <w:szCs w:val="32"/>
            <w:u w:val="single"/>
          </w:rPr>
          <w:t>Chayanit Luevanich</w:t>
        </w:r>
      </w:hyperlink>
      <w:r w:rsidRPr="009D420D">
        <w:rPr>
          <w:rFonts w:ascii="TH SarabunPSK" w:eastAsia="Times New Roman" w:hAnsi="TH SarabunPSK" w:cs="TH SarabunPSK"/>
          <w:color w:val="333333"/>
          <w:sz w:val="32"/>
          <w:szCs w:val="32"/>
        </w:rPr>
        <w:t>, </w:t>
      </w:r>
      <w:hyperlink r:id="rId6" w:anchor="con2" w:history="1">
        <w:r w:rsidRPr="009D420D">
          <w:rPr>
            <w:rFonts w:ascii="TH SarabunPSK" w:eastAsia="Times New Roman" w:hAnsi="TH SarabunPSK" w:cs="TH SarabunPSK"/>
            <w:color w:val="046FF8"/>
            <w:sz w:val="32"/>
            <w:szCs w:val="32"/>
            <w:u w:val="single"/>
          </w:rPr>
          <w:t>Ros Kane</w:t>
        </w:r>
      </w:hyperlink>
      <w:r w:rsidRPr="009D420D">
        <w:rPr>
          <w:rFonts w:ascii="TH SarabunPSK" w:eastAsia="Times New Roman" w:hAnsi="TH SarabunPSK" w:cs="TH SarabunPSK"/>
          <w:color w:val="333333"/>
          <w:sz w:val="32"/>
          <w:szCs w:val="32"/>
        </w:rPr>
        <w:t> </w:t>
      </w:r>
      <w:hyperlink r:id="rId7" w:tgtFrame="_blank" w:history="1">
        <w:r w:rsidRPr="009D420D">
          <w:rPr>
            <w:rFonts w:ascii="TH SarabunPSK" w:eastAsia="Times New Roman" w:hAnsi="TH SarabunPSK" w:cs="TH SarabunPSK"/>
            <w:color w:val="046FF8"/>
            <w:sz w:val="32"/>
            <w:szCs w:val="32"/>
            <w:u w:val="single"/>
          </w:rPr>
          <w:t>https://orcid.org/0000-0002-6926-2530</w:t>
        </w:r>
      </w:hyperlink>
      <w:r w:rsidRPr="009D420D">
        <w:rPr>
          <w:rFonts w:ascii="TH SarabunPSK" w:eastAsia="Times New Roman" w:hAnsi="TH SarabunPSK" w:cs="TH SarabunPSK"/>
          <w:color w:val="333333"/>
          <w:sz w:val="32"/>
          <w:szCs w:val="32"/>
        </w:rPr>
        <w:t> </w:t>
      </w:r>
      <w:hyperlink r:id="rId8" w:history="1">
        <w:r w:rsidRPr="009D420D">
          <w:rPr>
            <w:rFonts w:ascii="TH SarabunPSK" w:eastAsia="Times New Roman" w:hAnsi="TH SarabunPSK" w:cs="TH SarabunPSK"/>
            <w:color w:val="046FF8"/>
            <w:sz w:val="32"/>
            <w:szCs w:val="32"/>
            <w:u w:val="single"/>
          </w:rPr>
          <w:t>rkane@lincoln.ac.uk</w:t>
        </w:r>
      </w:hyperlink>
      <w:r w:rsidRPr="009D420D">
        <w:rPr>
          <w:rFonts w:ascii="TH SarabunPSK" w:eastAsia="Times New Roman" w:hAnsi="TH SarabunPSK" w:cs="TH SarabunPSK"/>
          <w:color w:val="333333"/>
          <w:sz w:val="32"/>
          <w:szCs w:val="32"/>
        </w:rPr>
        <w:t>, </w:t>
      </w:r>
      <w:r w:rsidRPr="009D420D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[…]</w:t>
      </w:r>
      <w:r w:rsidRPr="009D420D">
        <w:rPr>
          <w:rFonts w:ascii="TH SarabunPSK" w:eastAsia="Times New Roman" w:hAnsi="TH SarabunPSK" w:cs="TH SarabunPSK"/>
          <w:color w:val="333333"/>
          <w:sz w:val="32"/>
          <w:szCs w:val="32"/>
        </w:rPr>
        <w:t>, and </w:t>
      </w:r>
      <w:proofErr w:type="spellStart"/>
      <w:r w:rsidRPr="009D420D">
        <w:rPr>
          <w:rFonts w:ascii="TH SarabunPSK" w:eastAsia="Times New Roman" w:hAnsi="TH SarabunPSK" w:cs="TH SarabunPSK"/>
          <w:color w:val="333333"/>
          <w:sz w:val="32"/>
          <w:szCs w:val="32"/>
        </w:rPr>
        <w:fldChar w:fldCharType="begin"/>
      </w:r>
      <w:r w:rsidRPr="009D420D">
        <w:rPr>
          <w:rFonts w:ascii="TH SarabunPSK" w:eastAsia="Times New Roman" w:hAnsi="TH SarabunPSK" w:cs="TH SarabunPSK"/>
          <w:color w:val="333333"/>
          <w:sz w:val="32"/>
          <w:szCs w:val="32"/>
        </w:rPr>
        <w:instrText xml:space="preserve"> HYPERLINK "https://journals.sagepub.com/doi/full/10.1177/23337214241280422" \l "con4" </w:instrText>
      </w:r>
      <w:r w:rsidRPr="009D420D">
        <w:rPr>
          <w:rFonts w:ascii="TH SarabunPSK" w:eastAsia="Times New Roman" w:hAnsi="TH SarabunPSK" w:cs="TH SarabunPSK"/>
          <w:color w:val="333333"/>
          <w:sz w:val="32"/>
          <w:szCs w:val="32"/>
        </w:rPr>
        <w:fldChar w:fldCharType="separate"/>
      </w:r>
      <w:r w:rsidRPr="009D420D">
        <w:rPr>
          <w:rFonts w:ascii="TH SarabunPSK" w:eastAsia="Times New Roman" w:hAnsi="TH SarabunPSK" w:cs="TH SarabunPSK"/>
          <w:color w:val="046FF8"/>
          <w:sz w:val="32"/>
          <w:szCs w:val="32"/>
          <w:u w:val="single"/>
        </w:rPr>
        <w:t>Prapaipim</w:t>
      </w:r>
      <w:proofErr w:type="spellEnd"/>
      <w:r w:rsidRPr="009D420D">
        <w:rPr>
          <w:rFonts w:ascii="TH SarabunPSK" w:eastAsia="Times New Roman" w:hAnsi="TH SarabunPSK" w:cs="TH SarabunPSK"/>
          <w:color w:val="046FF8"/>
          <w:sz w:val="32"/>
          <w:szCs w:val="32"/>
          <w:u w:val="single"/>
        </w:rPr>
        <w:t> Surachetkosom</w:t>
      </w:r>
      <w:r w:rsidRPr="009D420D">
        <w:rPr>
          <w:rFonts w:ascii="TH SarabunPSK" w:eastAsia="Times New Roman" w:hAnsi="TH SarabunPSK" w:cs="TH SarabunPSK"/>
          <w:color w:val="333333"/>
          <w:sz w:val="32"/>
          <w:szCs w:val="32"/>
        </w:rPr>
        <w:fldChar w:fldCharType="end"/>
      </w:r>
      <w:r w:rsidRPr="009D420D">
        <w:rPr>
          <w:rFonts w:ascii="TH SarabunPSK" w:eastAsia="Times New Roman" w:hAnsi="TH SarabunPSK" w:cs="TH SarabunPSK"/>
          <w:b/>
          <w:bCs/>
          <w:color w:val="046FF8"/>
          <w:sz w:val="32"/>
          <w:szCs w:val="32"/>
          <w:bdr w:val="single" w:sz="6" w:space="0" w:color="046FF8" w:frame="1"/>
        </w:rPr>
        <w:t>+1</w:t>
      </w:r>
      <w:hyperlink r:id="rId9" w:anchor="tab-contributors" w:history="1">
        <w:r w:rsidRPr="009D420D">
          <w:rPr>
            <w:rFonts w:ascii="TH SarabunPSK" w:eastAsia="Times New Roman" w:hAnsi="TH SarabunPSK" w:cs="TH SarabunPSK"/>
            <w:color w:val="046FF8"/>
            <w:sz w:val="32"/>
            <w:szCs w:val="32"/>
            <w:u w:val="single"/>
          </w:rPr>
          <w:t>View all authors and affiliations</w:t>
        </w:r>
      </w:hyperlink>
    </w:p>
    <w:p w:rsidR="009D420D" w:rsidRPr="009D420D" w:rsidRDefault="009D420D" w:rsidP="009D420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hyperlink r:id="rId10" w:history="1">
        <w:r w:rsidRPr="009D420D">
          <w:rPr>
            <w:rFonts w:ascii="TH SarabunPSK" w:eastAsia="Times New Roman" w:hAnsi="TH SarabunPSK" w:cs="TH SarabunPSK"/>
            <w:color w:val="046FF8"/>
            <w:sz w:val="32"/>
            <w:szCs w:val="32"/>
            <w:u w:val="single"/>
          </w:rPr>
          <w:t>All Articles</w:t>
        </w:r>
      </w:hyperlink>
    </w:p>
    <w:p w:rsidR="009D420D" w:rsidRPr="009D420D" w:rsidRDefault="009D420D" w:rsidP="009D420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hyperlink r:id="rId11" w:history="1">
        <w:r w:rsidRPr="009D420D">
          <w:rPr>
            <w:rFonts w:ascii="TH SarabunPSK" w:eastAsia="Times New Roman" w:hAnsi="TH SarabunPSK" w:cs="TH SarabunPSK"/>
            <w:color w:val="0000FF"/>
            <w:sz w:val="32"/>
            <w:szCs w:val="32"/>
          </w:rPr>
          <w:t>https://doi.org/10.1177/23337214241280422</w:t>
        </w:r>
      </w:hyperlink>
    </w:p>
    <w:p w:rsidR="009D420D" w:rsidRDefault="009D420D">
      <w:pPr>
        <w:rPr>
          <w:lang w:val="en-GB"/>
        </w:rPr>
      </w:pPr>
    </w:p>
    <w:p w:rsidR="009D420D" w:rsidRPr="009D420D" w:rsidRDefault="009D420D" w:rsidP="009D420D">
      <w:pPr>
        <w:pStyle w:val="1"/>
        <w:shd w:val="clear" w:color="auto" w:fill="FFFFFF"/>
        <w:rPr>
          <w:rFonts w:ascii="TH SarabunPSK" w:eastAsia="Times New Roman" w:hAnsi="TH SarabunPSK" w:cs="TH SarabunPSK"/>
          <w:color w:val="1C1D1E"/>
          <w:kern w:val="36"/>
          <w:sz w:val="48"/>
          <w:szCs w:val="48"/>
        </w:rPr>
      </w:pPr>
      <w:proofErr w:type="gramStart"/>
      <w:r>
        <w:rPr>
          <w:lang w:val="en-GB"/>
        </w:rPr>
        <w:t xml:space="preserve">Citation </w:t>
      </w:r>
      <w:r>
        <w:rPr>
          <w:rFonts w:hint="cs"/>
          <w:cs/>
          <w:lang w:val="en-GB"/>
        </w:rPr>
        <w:t xml:space="preserve"> ใน</w:t>
      </w:r>
      <w:proofErr w:type="gramEnd"/>
      <w:r>
        <w:rPr>
          <w:rFonts w:hint="cs"/>
          <w:cs/>
          <w:lang w:val="en-GB"/>
        </w:rPr>
        <w:t xml:space="preserve"> </w:t>
      </w:r>
      <w:r w:rsidRPr="009D420D">
        <w:rPr>
          <w:rFonts w:ascii="TH SarabunPSK" w:eastAsia="Times New Roman" w:hAnsi="TH SarabunPSK" w:cs="TH SarabunPSK"/>
          <w:color w:val="1C1D1E"/>
          <w:kern w:val="36"/>
          <w:sz w:val="48"/>
          <w:szCs w:val="48"/>
        </w:rPr>
        <w:t>Future Care Planning for Ageing Adults With Intellectual Disabilities: Family Caregiver Perspectives in Thailand</w:t>
      </w:r>
    </w:p>
    <w:p w:rsidR="009D420D" w:rsidRPr="009D420D" w:rsidRDefault="009D420D" w:rsidP="009D42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12" w:history="1">
        <w:proofErr w:type="spellStart"/>
        <w:r w:rsidRPr="009D420D">
          <w:rPr>
            <w:rFonts w:ascii="Arial" w:eastAsia="Times New Roman" w:hAnsi="Arial" w:cs="Arial"/>
            <w:color w:val="123D80"/>
            <w:sz w:val="21"/>
            <w:szCs w:val="21"/>
            <w:u w:val="single"/>
            <w:bdr w:val="none" w:sz="0" w:space="0" w:color="auto" w:frame="1"/>
          </w:rPr>
          <w:t>Kanokporn</w:t>
        </w:r>
        <w:proofErr w:type="spellEnd"/>
        <w:r w:rsidRPr="009D420D">
          <w:rPr>
            <w:rFonts w:ascii="Arial" w:eastAsia="Times New Roman" w:hAnsi="Arial" w:cs="Arial"/>
            <w:color w:val="123D80"/>
            <w:sz w:val="21"/>
            <w:szCs w:val="21"/>
            <w:u w:val="single"/>
            <w:bdr w:val="none" w:sz="0" w:space="0" w:color="auto" w:frame="1"/>
          </w:rPr>
          <w:t xml:space="preserve"> </w:t>
        </w:r>
        <w:proofErr w:type="spellStart"/>
        <w:r w:rsidRPr="009D420D">
          <w:rPr>
            <w:rFonts w:ascii="Arial" w:eastAsia="Times New Roman" w:hAnsi="Arial" w:cs="Arial"/>
            <w:color w:val="123D80"/>
            <w:sz w:val="21"/>
            <w:szCs w:val="21"/>
            <w:u w:val="single"/>
            <w:bdr w:val="none" w:sz="0" w:space="0" w:color="auto" w:frame="1"/>
          </w:rPr>
          <w:t>Vibulpatanavong</w:t>
        </w:r>
        <w:proofErr w:type="spellEnd"/>
      </w:hyperlink>
      <w:r w:rsidRPr="009D420D">
        <w:rPr>
          <w:rFonts w:ascii="Arial" w:eastAsia="Times New Roman" w:hAnsi="Arial" w:cs="Arial"/>
          <w:color w:val="8B8B8B"/>
          <w:sz w:val="21"/>
          <w:szCs w:val="21"/>
          <w:bdr w:val="none" w:sz="0" w:space="0" w:color="auto" w:frame="1"/>
        </w:rPr>
        <w:t>, </w:t>
      </w:r>
      <w:proofErr w:type="spellStart"/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begin"/>
      </w:r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instrText xml:space="preserve"> HYPERLINK "https://onlinelibrary.wiley.com/authored-by/Sirirak/Cheerapat" </w:instrText>
      </w:r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separate"/>
      </w:r>
      <w:r w:rsidRPr="009D420D">
        <w:rPr>
          <w:rFonts w:ascii="Arial" w:eastAsia="Times New Roman" w:hAnsi="Arial" w:cs="Arial"/>
          <w:color w:val="123D80"/>
          <w:sz w:val="21"/>
          <w:szCs w:val="21"/>
          <w:u w:val="single"/>
          <w:bdr w:val="none" w:sz="0" w:space="0" w:color="auto" w:frame="1"/>
        </w:rPr>
        <w:t>Cheerapat</w:t>
      </w:r>
      <w:proofErr w:type="spellEnd"/>
      <w:r w:rsidRPr="009D420D">
        <w:rPr>
          <w:rFonts w:ascii="Arial" w:eastAsia="Times New Roman" w:hAnsi="Arial" w:cs="Arial"/>
          <w:color w:val="123D80"/>
          <w:sz w:val="21"/>
          <w:szCs w:val="21"/>
          <w:u w:val="single"/>
          <w:bdr w:val="none" w:sz="0" w:space="0" w:color="auto" w:frame="1"/>
        </w:rPr>
        <w:t xml:space="preserve"> </w:t>
      </w:r>
      <w:proofErr w:type="spellStart"/>
      <w:r w:rsidRPr="009D420D">
        <w:rPr>
          <w:rFonts w:ascii="Arial" w:eastAsia="Times New Roman" w:hAnsi="Arial" w:cs="Arial"/>
          <w:color w:val="123D80"/>
          <w:sz w:val="21"/>
          <w:szCs w:val="21"/>
          <w:u w:val="single"/>
          <w:bdr w:val="none" w:sz="0" w:space="0" w:color="auto" w:frame="1"/>
        </w:rPr>
        <w:t>Sirirak</w:t>
      </w:r>
      <w:proofErr w:type="spellEnd"/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end"/>
      </w:r>
      <w:r w:rsidRPr="009D420D">
        <w:rPr>
          <w:rFonts w:ascii="Arial" w:eastAsia="Times New Roman" w:hAnsi="Arial" w:cs="Arial"/>
          <w:color w:val="8B8B8B"/>
          <w:sz w:val="21"/>
          <w:szCs w:val="21"/>
          <w:bdr w:val="none" w:sz="0" w:space="0" w:color="auto" w:frame="1"/>
        </w:rPr>
        <w:t>, </w:t>
      </w:r>
      <w:proofErr w:type="spellStart"/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begin"/>
      </w:r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instrText xml:space="preserve"> HYPERLINK "https://onlinelibrary.wiley.com/authored-by/Saardaium/Aporn" </w:instrText>
      </w:r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separate"/>
      </w:r>
      <w:r w:rsidRPr="009D420D">
        <w:rPr>
          <w:rFonts w:ascii="Arial" w:eastAsia="Times New Roman" w:hAnsi="Arial" w:cs="Arial"/>
          <w:color w:val="123D80"/>
          <w:sz w:val="21"/>
          <w:szCs w:val="21"/>
          <w:u w:val="single"/>
          <w:bdr w:val="none" w:sz="0" w:space="0" w:color="auto" w:frame="1"/>
        </w:rPr>
        <w:t>Aporn</w:t>
      </w:r>
      <w:proofErr w:type="spellEnd"/>
      <w:r w:rsidRPr="009D420D">
        <w:rPr>
          <w:rFonts w:ascii="Arial" w:eastAsia="Times New Roman" w:hAnsi="Arial" w:cs="Arial"/>
          <w:color w:val="123D80"/>
          <w:sz w:val="21"/>
          <w:szCs w:val="21"/>
          <w:u w:val="single"/>
          <w:bdr w:val="none" w:sz="0" w:space="0" w:color="auto" w:frame="1"/>
        </w:rPr>
        <w:t xml:space="preserve"> </w:t>
      </w:r>
      <w:proofErr w:type="spellStart"/>
      <w:r w:rsidRPr="009D420D">
        <w:rPr>
          <w:rFonts w:ascii="Arial" w:eastAsia="Times New Roman" w:hAnsi="Arial" w:cs="Arial"/>
          <w:color w:val="123D80"/>
          <w:sz w:val="21"/>
          <w:szCs w:val="21"/>
          <w:u w:val="single"/>
          <w:bdr w:val="none" w:sz="0" w:space="0" w:color="auto" w:frame="1"/>
        </w:rPr>
        <w:t>Saardaium</w:t>
      </w:r>
      <w:proofErr w:type="spellEnd"/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end"/>
      </w:r>
      <w:r w:rsidRPr="009D420D">
        <w:rPr>
          <w:rFonts w:ascii="Arial" w:eastAsia="Times New Roman" w:hAnsi="Arial" w:cs="Arial"/>
          <w:color w:val="8B8B8B"/>
          <w:sz w:val="21"/>
          <w:szCs w:val="21"/>
          <w:bdr w:val="none" w:sz="0" w:space="0" w:color="auto" w:frame="1"/>
        </w:rPr>
        <w:t>, </w:t>
      </w:r>
      <w:proofErr w:type="spellStart"/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begin"/>
      </w:r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instrText xml:space="preserve"> HYPERLINK "https://onlinelibrary.wiley.com/authored-by/Sittichan/Kamalaporn" </w:instrText>
      </w:r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separate"/>
      </w:r>
      <w:r w:rsidRPr="009D420D">
        <w:rPr>
          <w:rFonts w:ascii="Arial" w:eastAsia="Times New Roman" w:hAnsi="Arial" w:cs="Arial"/>
          <w:color w:val="123D80"/>
          <w:sz w:val="21"/>
          <w:szCs w:val="21"/>
          <w:u w:val="single"/>
          <w:bdr w:val="none" w:sz="0" w:space="0" w:color="auto" w:frame="1"/>
        </w:rPr>
        <w:t>Kamalaporn</w:t>
      </w:r>
      <w:proofErr w:type="spellEnd"/>
      <w:r w:rsidRPr="009D420D">
        <w:rPr>
          <w:rFonts w:ascii="Arial" w:eastAsia="Times New Roman" w:hAnsi="Arial" w:cs="Arial"/>
          <w:color w:val="123D80"/>
          <w:sz w:val="21"/>
          <w:szCs w:val="21"/>
          <w:u w:val="single"/>
          <w:bdr w:val="none" w:sz="0" w:space="0" w:color="auto" w:frame="1"/>
        </w:rPr>
        <w:t xml:space="preserve"> </w:t>
      </w:r>
      <w:proofErr w:type="spellStart"/>
      <w:r w:rsidRPr="009D420D">
        <w:rPr>
          <w:rFonts w:ascii="Arial" w:eastAsia="Times New Roman" w:hAnsi="Arial" w:cs="Arial"/>
          <w:color w:val="123D80"/>
          <w:sz w:val="21"/>
          <w:szCs w:val="21"/>
          <w:u w:val="single"/>
          <w:bdr w:val="none" w:sz="0" w:space="0" w:color="auto" w:frame="1"/>
        </w:rPr>
        <w:t>Sittichan</w:t>
      </w:r>
      <w:proofErr w:type="spellEnd"/>
      <w:r w:rsidRPr="009D420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end"/>
      </w:r>
    </w:p>
    <w:p w:rsidR="009D420D" w:rsidRPr="009D420D" w:rsidRDefault="009D420D" w:rsidP="009D420D">
      <w:pPr>
        <w:shd w:val="clear" w:color="auto" w:fill="FFFFFF"/>
        <w:spacing w:after="0" w:line="240" w:lineRule="auto"/>
        <w:rPr>
          <w:rFonts w:ascii="icomoon" w:eastAsia="Times New Roman" w:hAnsi="icomoon" w:cs="Angsana New"/>
          <w:color w:val="767676"/>
          <w:sz w:val="21"/>
          <w:szCs w:val="21"/>
        </w:rPr>
      </w:pPr>
      <w:r w:rsidRPr="009D420D">
        <w:rPr>
          <w:rFonts w:ascii="icomoon" w:eastAsia="Times New Roman" w:hAnsi="icomoon" w:cs="Angsana New"/>
          <w:color w:val="767676"/>
          <w:sz w:val="21"/>
          <w:szCs w:val="21"/>
        </w:rPr>
        <w:t xml:space="preserve">First published: </w:t>
      </w:r>
      <w:r w:rsidRPr="009D420D">
        <w:rPr>
          <w:rFonts w:ascii="icomoon" w:eastAsia="Times New Roman" w:hAnsi="icomoon" w:cs="Angsana New"/>
          <w:color w:val="1C1D1E"/>
          <w:sz w:val="21"/>
          <w:szCs w:val="21"/>
        </w:rPr>
        <w:t>20 February 2026</w:t>
      </w:r>
    </w:p>
    <w:p w:rsidR="009D420D" w:rsidRPr="009D420D" w:rsidRDefault="009D420D" w:rsidP="009D420D">
      <w:pPr>
        <w:shd w:val="clear" w:color="auto" w:fill="FFFFFF"/>
        <w:spacing w:after="0" w:line="240" w:lineRule="auto"/>
        <w:rPr>
          <w:rFonts w:ascii="icomoon" w:eastAsia="Times New Roman" w:hAnsi="icomoon" w:cs="Angsana New"/>
          <w:color w:val="767676"/>
          <w:sz w:val="21"/>
          <w:szCs w:val="21"/>
        </w:rPr>
      </w:pPr>
      <w:r w:rsidRPr="009D420D">
        <w:rPr>
          <w:rFonts w:ascii="icomoon" w:eastAsia="Times New Roman" w:hAnsi="icomoon" w:cs="Angsana New"/>
          <w:color w:val="767676"/>
          <w:sz w:val="21"/>
          <w:szCs w:val="21"/>
        </w:rPr>
        <w:t> </w:t>
      </w:r>
    </w:p>
    <w:p w:rsidR="009D420D" w:rsidRPr="009D420D" w:rsidRDefault="009D420D" w:rsidP="009D420D">
      <w:pPr>
        <w:shd w:val="clear" w:color="auto" w:fill="FFFFFF"/>
        <w:spacing w:after="0" w:line="240" w:lineRule="auto"/>
        <w:rPr>
          <w:rFonts w:ascii="icomoon" w:eastAsia="Times New Roman" w:hAnsi="icomoon" w:cs="Angsana New"/>
          <w:color w:val="767676"/>
          <w:sz w:val="21"/>
          <w:szCs w:val="21"/>
        </w:rPr>
      </w:pPr>
      <w:hyperlink r:id="rId13" w:history="1">
        <w:r w:rsidRPr="009D420D">
          <w:rPr>
            <w:rFonts w:ascii="icomoon" w:eastAsia="Times New Roman" w:hAnsi="icomoon" w:cs="Angsana New"/>
            <w:b/>
            <w:bCs/>
            <w:color w:val="123D80"/>
            <w:sz w:val="21"/>
            <w:szCs w:val="21"/>
          </w:rPr>
          <w:t>https://doi.org/10.1111/jar.70204</w:t>
        </w:r>
        <w:r w:rsidRPr="009D420D">
          <w:rPr>
            <w:rFonts w:ascii="icomoon" w:eastAsia="Times New Roman" w:hAnsi="icomoon" w:cs="Angsana New"/>
            <w:b/>
            <w:bCs/>
            <w:color w:val="123D80"/>
            <w:sz w:val="21"/>
            <w:szCs w:val="21"/>
            <w:bdr w:val="none" w:sz="0" w:space="0" w:color="auto" w:frame="1"/>
          </w:rPr>
          <w:t>Digital Object Identifier (DOI)</w:t>
        </w:r>
      </w:hyperlink>
    </w:p>
    <w:p w:rsidR="00E83F45" w:rsidRPr="009D420D" w:rsidRDefault="00E83F45">
      <w:pPr>
        <w:rPr>
          <w:rFonts w:hint="cs"/>
          <w:cs/>
        </w:rPr>
      </w:pPr>
    </w:p>
    <w:p w:rsidR="009D420D" w:rsidRDefault="009D420D">
      <w:pPr>
        <w:rPr>
          <w:lang w:val="en-GB"/>
        </w:rPr>
      </w:pPr>
      <w:r>
        <w:rPr>
          <w:noProof/>
        </w:rPr>
        <w:drawing>
          <wp:inline distT="0" distB="0" distL="0" distR="0" wp14:anchorId="4B252D4D" wp14:editId="3BD07707">
            <wp:extent cx="5731510" cy="3223974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20D" w:rsidRDefault="009D420D">
      <w:pPr>
        <w:rPr>
          <w:lang w:val="en-GB"/>
        </w:rPr>
      </w:pPr>
    </w:p>
    <w:p w:rsidR="009D420D" w:rsidRDefault="009D420D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095D0ED9" wp14:editId="6C8485B9">
            <wp:extent cx="5963478" cy="4313582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0323" cy="43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20D" w:rsidRDefault="009D420D">
      <w:pPr>
        <w:rPr>
          <w:lang w:val="en-GB"/>
        </w:rPr>
      </w:pPr>
    </w:p>
    <w:p w:rsidR="009D420D" w:rsidRPr="009D420D" w:rsidRDefault="009D420D" w:rsidP="009D420D">
      <w:pPr>
        <w:pStyle w:val="1"/>
        <w:shd w:val="clear" w:color="auto" w:fill="FFFFFF"/>
        <w:spacing w:before="0"/>
        <w:jc w:val="center"/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</w:pPr>
      <w:r>
        <w:rPr>
          <w:lang w:val="en-GB"/>
        </w:rPr>
        <w:t xml:space="preserve">Citation in </w:t>
      </w:r>
      <w:proofErr w:type="spellStart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>Preparar</w:t>
      </w:r>
      <w:proofErr w:type="spellEnd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 xml:space="preserve"> o </w:t>
      </w:r>
      <w:proofErr w:type="spellStart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>Envelhecimento</w:t>
      </w:r>
      <w:proofErr w:type="spellEnd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 xml:space="preserve">: A </w:t>
      </w:r>
      <w:proofErr w:type="spellStart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>Adequação</w:t>
      </w:r>
      <w:proofErr w:type="spellEnd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 xml:space="preserve"> das </w:t>
      </w:r>
      <w:proofErr w:type="spellStart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>Políticas</w:t>
      </w:r>
      <w:proofErr w:type="spellEnd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 xml:space="preserve"> e a </w:t>
      </w:r>
      <w:proofErr w:type="spellStart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>Dignidade</w:t>
      </w:r>
      <w:proofErr w:type="spellEnd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 xml:space="preserve"> Individual – Uma </w:t>
      </w:r>
      <w:proofErr w:type="spellStart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>revisão</w:t>
      </w:r>
      <w:proofErr w:type="spellEnd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 xml:space="preserve"> da </w:t>
      </w:r>
      <w:proofErr w:type="spellStart"/>
      <w:r w:rsidRPr="009D420D">
        <w:rPr>
          <w:rFonts w:ascii="TH SarabunPSK" w:eastAsia="Times New Roman" w:hAnsi="TH SarabunPSK" w:cs="TH SarabunPSK"/>
          <w:b w:val="0"/>
          <w:bCs w:val="0"/>
          <w:color w:val="000000" w:themeColor="text1"/>
          <w:kern w:val="36"/>
          <w:sz w:val="32"/>
          <w:szCs w:val="32"/>
        </w:rPr>
        <w:t>literatura</w:t>
      </w:r>
      <w:proofErr w:type="spellEnd"/>
    </w:p>
    <w:p w:rsidR="009D420D" w:rsidRPr="009D420D" w:rsidRDefault="009D420D" w:rsidP="009D420D">
      <w:pPr>
        <w:shd w:val="clear" w:color="auto" w:fill="FFFFFF"/>
        <w:spacing w:after="0" w:line="384" w:lineRule="atLeast"/>
        <w:jc w:val="center"/>
        <w:rPr>
          <w:rFonts w:ascii="TH SarabunPSK" w:eastAsia="Times New Roman" w:hAnsi="TH SarabunPSK" w:cs="TH SarabunPSK"/>
          <w:caps/>
          <w:color w:val="757575"/>
          <w:sz w:val="32"/>
          <w:szCs w:val="32"/>
        </w:rPr>
      </w:pPr>
      <w:r w:rsidRPr="009D420D">
        <w:rPr>
          <w:rFonts w:ascii="TH SarabunPSK" w:eastAsia="Times New Roman" w:hAnsi="TH SarabunPSK" w:cs="TH SarabunPSK"/>
          <w:caps/>
          <w:color w:val="757575"/>
          <w:sz w:val="32"/>
          <w:szCs w:val="32"/>
        </w:rPr>
        <w:t>Artigos</w:t>
      </w:r>
    </w:p>
    <w:p w:rsidR="009D420D" w:rsidRDefault="009D420D" w:rsidP="009D420D">
      <w:pPr>
        <w:shd w:val="clear" w:color="auto" w:fill="FFFFFF"/>
        <w:spacing w:after="0" w:line="384" w:lineRule="atLeast"/>
        <w:jc w:val="center"/>
        <w:rPr>
          <w:rFonts w:ascii="TH SarabunPSK" w:eastAsia="Times New Roman" w:hAnsi="TH SarabunPSK" w:cs="TH SarabunPSK"/>
          <w:color w:val="757575"/>
          <w:sz w:val="32"/>
          <w:szCs w:val="32"/>
        </w:rPr>
      </w:pPr>
      <w:proofErr w:type="spellStart"/>
      <w:r w:rsidRPr="009D420D">
        <w:rPr>
          <w:rFonts w:ascii="TH SarabunPSK" w:eastAsia="Times New Roman" w:hAnsi="TH SarabunPSK" w:cs="TH SarabunPSK"/>
          <w:color w:val="757575"/>
          <w:sz w:val="32"/>
          <w:szCs w:val="32"/>
        </w:rPr>
        <w:t>Publicado</w:t>
      </w:r>
      <w:proofErr w:type="spellEnd"/>
      <w:r w:rsidRPr="009D420D">
        <w:rPr>
          <w:rFonts w:ascii="TH SarabunPSK" w:eastAsia="Times New Roman" w:hAnsi="TH SarabunPSK" w:cs="TH SarabunPSK"/>
          <w:color w:val="757575"/>
          <w:sz w:val="32"/>
          <w:szCs w:val="32"/>
        </w:rPr>
        <w:t xml:space="preserve"> 12-12-2025</w:t>
      </w:r>
    </w:p>
    <w:p w:rsidR="009D420D" w:rsidRPr="009D420D" w:rsidRDefault="009D420D" w:rsidP="009D420D">
      <w:pPr>
        <w:shd w:val="clear" w:color="auto" w:fill="FFFFFF"/>
        <w:spacing w:after="0" w:line="384" w:lineRule="atLeast"/>
        <w:jc w:val="center"/>
        <w:rPr>
          <w:rFonts w:ascii="TH SarabunPSK" w:eastAsia="Times New Roman" w:hAnsi="TH SarabunPSK" w:cs="TH SarabunPSK"/>
          <w:color w:val="757575"/>
          <w:sz w:val="32"/>
          <w:szCs w:val="32"/>
        </w:rPr>
      </w:pPr>
    </w:p>
    <w:p w:rsidR="009D420D" w:rsidRPr="009D420D" w:rsidRDefault="009D420D">
      <w:pPr>
        <w:rPr>
          <w:rFonts w:ascii="TH SarabunPSK" w:hAnsi="TH SarabunPSK" w:cs="TH SarabunPSK"/>
          <w:sz w:val="32"/>
          <w:szCs w:val="32"/>
          <w:lang w:val="en-GB"/>
        </w:rPr>
      </w:pPr>
      <w:bookmarkStart w:id="0" w:name="_GoBack"/>
      <w:r w:rsidRPr="009D420D">
        <w:rPr>
          <w:rFonts w:ascii="TH SarabunPSK" w:hAnsi="TH SarabunPSK" w:cs="TH SarabunPSK"/>
          <w:sz w:val="32"/>
          <w:szCs w:val="32"/>
          <w:lang w:val="en-GB"/>
        </w:rPr>
        <w:t>https://riagejournal.com/index.php/riage/article/view/403/497</w:t>
      </w:r>
      <w:bookmarkEnd w:id="0"/>
    </w:p>
    <w:sectPr w:rsidR="009D420D" w:rsidRPr="009D4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comoo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0D"/>
    <w:rsid w:val="009D420D"/>
    <w:rsid w:val="00E8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420D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D4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420D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D4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ne@lincoln.ac.uk" TargetMode="External"/><Relationship Id="rId13" Type="http://schemas.openxmlformats.org/officeDocument/2006/relationships/hyperlink" Target="https://doi.org/10.1111/jar.702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6926-2530" TargetMode="External"/><Relationship Id="rId12" Type="http://schemas.openxmlformats.org/officeDocument/2006/relationships/hyperlink" Target="https://onlinelibrary.wiley.com/authored-by/Vibulpatanavong/Kanokpor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ournals.sagepub.com/doi/full/10.1177/23337214241280422" TargetMode="External"/><Relationship Id="rId11" Type="http://schemas.openxmlformats.org/officeDocument/2006/relationships/hyperlink" Target="https://doi.org/10.1177/23337214241280422" TargetMode="External"/><Relationship Id="rId5" Type="http://schemas.openxmlformats.org/officeDocument/2006/relationships/hyperlink" Target="https://journals.sagepub.com/doi/full/10.1177/23337214241280422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journals.sagepub.com/articles/G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doi/full/10.1177/2333721424128042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2026-03-19T09:22:00Z</dcterms:created>
  <dcterms:modified xsi:type="dcterms:W3CDTF">2026-03-19T09:36:00Z</dcterms:modified>
</cp:coreProperties>
</file>